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tecnica PriceTag — ipotesi Allegato IV / V (iperammortamento 2026)</w:t>
      </w:r>
    </w:p>
    <w:p>
      <w:r>
        <w:rPr>
          <w:b/>
        </w:rPr>
        <w:t>Lingua:</w:t>
      </w:r>
      <w:r>
        <w:t xml:space="preserve"> IT (per commercialista / perito).</w:t>
      </w:r>
    </w:p>
    <w:p>
      <w:r>
        <w:rPr>
          <w:b/>
        </w:rPr>
        <w:t>Stato:</w:t>
      </w:r>
      <w:r>
        <w:t xml:space="preserve"> bozza tecnica (2026-10-08). </w:t>
      </w:r>
      <w:r>
        <w:rPr>
          <w:b/>
        </w:rPr>
        <w:t>Ipotesi non validate</w:t>
      </w:r>
      <w:r>
        <w:t xml:space="preserve"> — non affermare in vendita una lettera Allegato fino a parere scritto.</w:t>
      </w:r>
    </w:p>
    <w:p>
      <w:r>
        <w:rPr>
          <w:b/>
        </w:rPr>
        <w:t>Disclaimer:</w:t>
      </w:r>
      <w:r>
        <w:t xml:space="preserve"> Non è consulenza fiscale né perizia asseverata.</w:t>
      </w:r>
    </w:p>
    <w:p>
      <w:r>
        <w:rPr>
          <w:b/>
        </w:rPr>
        <w:t>Inventario fonti:</w:t>
      </w:r>
      <w:r>
        <w:t xml:space="preserve"> </w:t>
      </w:r>
      <w:r>
        <w:rPr>
          <w:rFonts w:ascii="Menlo" w:hAnsi="Menlo" w:eastAsia="Menlo"/>
        </w:rPr>
        <w:t>iperammortamento-docs-reuse-inventory.md</w:t>
      </w:r>
    </w:p>
    <w:p>
      <w:r>
        <w:rPr>
          <w:b/>
        </w:rPr>
        <w:t>Template dossier per negozio:</w:t>
      </w:r>
      <w:r>
        <w:t xml:space="preserve"> </w:t>
      </w:r>
      <w:r>
        <w:rPr>
          <w:rFonts w:ascii="Menlo" w:hAnsi="Menlo" w:eastAsia="Menlo"/>
        </w:rPr>
        <w:t>../ops-memory/content/dossier-interconnessione-template.md</w:t>
      </w:r>
    </w:p>
    <w:p>
      <w:r>
        <w:rPr>
          <w:b/>
        </w:rPr>
        <w:t>Quadro obbligo:</w:t>
      </w:r>
      <w:r>
        <w:t xml:space="preserve"> </w:t>
      </w:r>
      <w:r>
        <w:rPr>
          <w:rFonts w:ascii="Menlo" w:hAnsi="Menlo" w:eastAsia="Menlo"/>
        </w:rPr>
        <w:t>../legal-memory/content/iperammortamento-transizione-5-0.md</w:t>
      </w:r>
    </w:p>
    <w:p>
      <w:pPr>
        <w:pStyle w:val="Heading1"/>
      </w:pPr>
      <w:r>
        <w:t>1. Cos’è PriceTag (uso aziendale)</w:t>
      </w:r>
    </w:p>
    <w:p>
      <w:r>
        <w:t xml:space="preserve">PriceTag è un </w:t>
      </w:r>
      <w:r>
        <w:rPr>
          <w:b/>
        </w:rPr>
        <w:t>sistema di etichette elettroniche (ESL)</w:t>
      </w:r>
      <w:r>
        <w:t xml:space="preserve"> per il punto vendita: riceve catalogo e prezzi dal gestionale/POS del cliente e li </w:t>
      </w:r>
      <w:r>
        <w:rPr>
          <w:b/>
        </w:rPr>
        <w:t>pubblica a scaffale</w:t>
      </w:r>
      <w:r>
        <w:t xml:space="preserve"> su tag e-ink, con mappa del negozio e aggiornamento massivo.</w:t>
      </w:r>
    </w:p>
    <w:p>
      <w:r>
        <w:rPr>
          <w:b/>
        </w:rPr>
        <w:t>Non</w:t>
      </w:r>
      <w:r>
        <w:t xml:space="preserve"> sostituisce il gestionale. Il gestionale resta source of truth della politica commerciale; PriceTag è lo strato visuale di gondola (IT → OT).</w:t>
      </w:r>
    </w:p>
    <w:p>
      <w:r>
        <w:t>Processo tipico:</w:t>
      </w:r>
    </w:p>
    <w:p>
      <w:pPr>
        <w:pStyle w:val="ListNumber"/>
      </w:pPr>
      <w:r>
        <w:t xml:space="preserve">Gestionale / export → import CSV o </w:t>
      </w:r>
      <w:r>
        <w:rPr>
          <w:b/>
        </w:rPr>
        <w:t>Integration API v1</w:t>
      </w:r>
      <w:r>
        <w:t xml:space="preserve"> (HTTPS) → snapshot PriceTag.</w:t>
      </w:r>
    </w:p>
    <w:p>
      <w:pPr>
        <w:pStyle w:val="ListNumber"/>
      </w:pPr>
      <w:r>
        <w:t>Operatore conferma / invia in coda.</w:t>
      </w:r>
    </w:p>
    <w:p>
      <w:pPr>
        <w:pStyle w:val="ListNumber"/>
      </w:pPr>
      <w:r>
        <w:rPr>
          <w:b/>
        </w:rPr>
        <w:t>Aggiorna:</w:t>
      </w:r>
      <w:r>
        <w:t xml:space="preserve"> Base Station via </w:t>
      </w:r>
      <w:r>
        <w:rPr>
          <w:b/>
        </w:rPr>
        <w:t>MQTT → ESLAP → RF</w:t>
      </w:r>
      <w:r>
        <w:t xml:space="preserve">, oppure </w:t>
      </w:r>
      <w:r>
        <w:rPr>
          <w:b/>
        </w:rPr>
        <w:t>BLE</w:t>
      </w:r>
      <w:r>
        <w:t xml:space="preserve"> da mobile.</w:t>
      </w:r>
    </w:p>
    <w:p>
      <w:pPr>
        <w:pStyle w:val="Heading1"/>
      </w:pPr>
      <w:r>
        <w:t>2. Architettura (sintesi)</w:t>
      </w:r>
    </w:p>
    <w:p>
      <w:r>
        <w:rPr>
          <w:rFonts w:ascii="Menlo" w:hAnsi="Menlo"/>
          <w:sz w:val="18"/>
        </w:rPr>
        <w:t>Gestionale/POS  --HTTPS/CSV--&gt;  PriceTag API + DB (UE)</w:t>
        <w:br/>
        <w:t xml:space="preserve">                                      |</w:t>
        <w:br/>
        <w:t xml:space="preserve">                    +-----------------+------------------+</w:t>
        <w:br/>
        <w:t xml:space="preserve">                    |                                    |</w:t>
        <w:br/>
        <w:t xml:space="preserve">              App web/desktop/mobile              MQTT broker (UE)</w:t>
        <w:br/>
        <w:t xml:space="preserve">                    |                                    |</w:t>
        <w:br/>
        <w:t xml:space="preserve">                   BLE                            Base Station ESLAP</w:t>
        <w:br/>
        <w:t xml:space="preserve">                    |                                    |</w:t>
        <w:br/>
        <w:t xml:space="preserve">                    +-------- Tag ESL (e-ink) &lt;----------+</w:t>
      </w:r>
    </w:p>
    <w:p>
      <w:r>
        <w:t xml:space="preserve">Dettaglio: </w:t>
      </w:r>
      <w:r>
        <w:rPr>
          <w:rFonts w:ascii="Menlo" w:hAnsi="Menlo" w:eastAsia="Menlo"/>
        </w:rPr>
        <w:t>descrizione-sistema-infrastruttura-gestionale.md</w:t>
      </w:r>
      <w:r>
        <w:t xml:space="preserve"> (Brain) e PDF export correlato.</w:t>
      </w:r>
    </w:p>
    <w:p>
      <w:r>
        <w:t xml:space="preserve">MQTT / ESLAP: </w:t>
      </w:r>
      <w:r>
        <w:rPr>
          <w:rFonts w:ascii="Menlo" w:hAnsi="Menlo" w:eastAsia="Menlo"/>
        </w:rPr>
        <w:t>engineering-memory/content/armor-eslap-hw.md</w:t>
      </w:r>
      <w:r>
        <w:t xml:space="preserve"> (docs pubbliche Base Station ancora high-level; il dettaglio OT per perizia è qui).</w:t>
      </w:r>
    </w:p>
    <w:p>
      <w:pPr>
        <w:pStyle w:val="Heading1"/>
      </w:pPr>
      <w:r>
        <w:t>3. Beni immateriali — ipotesi Allegato V</w:t>
      </w:r>
    </w:p>
    <w:p>
      <w:r>
        <w:rPr>
          <w:b/>
        </w:rPr>
        <w:t>Non chiuse.</w:t>
      </w:r>
      <w:r>
        <w:t xml:space="preserve"> Da sottoporre al commercialista.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  <w:r>
              <w:rPr>
                <w:b/>
              </w:rPr>
              <w:t>Ipotesi (voce Allegato V)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  <w:r>
              <w:rPr>
                <w:b/>
              </w:rPr>
              <w:t>Funzioni PriceTag che si citano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  <w:r>
              <w:rPr>
                <w:b/>
              </w:rPr>
              <w:t>Fonti docs/Brain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  <w:r>
              <w:rPr>
                <w:b/>
              </w:rPr>
              <w:t>Rischio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/>
              </w:rPr>
              <w:t>ff)</w:t>
            </w:r>
            <w:r>
              <w:t xml:space="preserve"> integrazione dati / IT–OT (ipotesi prioritaria)</w:t>
            </w:r>
          </w:p>
        </w:tc>
        <w:tc>
          <w:tcPr>
            <w:tcW w:type="dxa" w:w="2493"/>
          </w:tcPr>
          <w:p>
            <w:r/>
            <w:r>
              <w:t>Sync gestionale↔PriceTag (HTTPS/CSV); PriceTag↔ESL (MQTT/BLE); scambio EAN, prezzo, stato aggiornamento</w:t>
            </w:r>
          </w:p>
        </w:tc>
        <w:tc>
          <w:tcPr>
            <w:tcW w:type="dxa" w:w="2493"/>
          </w:tcPr>
          <w:p>
            <w:r/>
            <w:r>
              <w:rPr>
                <w:rFonts w:ascii="Menlo" w:hAnsi="Menlo" w:eastAsia="Menlo"/>
              </w:rPr>
              <w:t>docs/it/integrazioni/api-v1.md</w:t>
            </w:r>
            <w:r>
              <w:t>; descrizione-sistema §3–4</w:t>
            </w:r>
          </w:p>
        </w:tc>
        <w:tc>
          <w:tcPr>
            <w:tcW w:type="dxa" w:w="2493"/>
          </w:tcPr>
          <w:p>
            <w:r/>
            <w:r>
              <w:t xml:space="preserve">Va dimostrata interconnessione </w:t>
            </w:r>
            <w:r>
              <w:rPr>
                <w:b/>
              </w:rPr>
              <w:t>effettiva</w:t>
            </w:r>
            <w:r>
              <w:t xml:space="preserve"> in sede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/>
              </w:rPr>
              <w:t>bb)</w:t>
            </w:r>
            <w:r>
              <w:t xml:space="preserve"> logistica / coordinamento ad alta integrazione</w:t>
            </w:r>
          </w:p>
        </w:tc>
        <w:tc>
          <w:tcPr>
            <w:tcW w:type="dxa" w:w="2493"/>
          </w:tcPr>
          <w:p>
            <w:r/>
            <w:r>
              <w:t>Coordinamento aggiornamento prezzi in corsia, mappa, code batch</w:t>
            </w:r>
          </w:p>
        </w:tc>
        <w:tc>
          <w:tcPr>
            <w:tcW w:type="dxa" w:w="2493"/>
          </w:tcPr>
          <w:p>
            <w:r/>
            <w:r>
              <w:t>docs app mappa / aggiornare remoto</w:t>
            </w:r>
          </w:p>
        </w:tc>
        <w:tc>
          <w:tcPr>
            <w:tcW w:type="dxa" w:w="2493"/>
          </w:tcPr>
          <w:p>
            <w:r/>
            <w:r>
              <w:t>Retail ≠ logistica industriale: perito può restringere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/>
              </w:rPr>
              <w:t>d)/e)</w:t>
            </w:r>
            <w:r>
              <w:t xml:space="preserve"> coordinamento / monitoraggio produzione (ipotesi debole)</w:t>
            </w:r>
          </w:p>
        </w:tc>
        <w:tc>
          <w:tcPr>
            <w:tcW w:type="dxa" w:w="2493"/>
          </w:tcPr>
          <w:p>
            <w:r/>
            <w:r>
              <w:t>Coda aggiornamenti, stato radio Station</w:t>
            </w:r>
          </w:p>
        </w:tc>
        <w:tc>
          <w:tcPr>
            <w:tcW w:type="dxa" w:w="2493"/>
          </w:tcPr>
          <w:p>
            <w:r/>
            <w:r>
              <w:t>docs + Hub connector</w:t>
            </w:r>
          </w:p>
        </w:tc>
        <w:tc>
          <w:tcPr>
            <w:tcW w:type="dxa" w:w="2493"/>
          </w:tcPr>
          <w:p>
            <w:r/>
            <w:r>
              <w:t>Non siamo MES/SCADA di fabbrica</w:t>
            </w:r>
          </w:p>
        </w:tc>
      </w:tr>
    </w:tbl>
    <w:p/>
    <w:p>
      <w:pPr>
        <w:pStyle w:val="Heading2"/>
      </w:pPr>
      <w:r>
        <w:t>Funzionalità software documentabili (citabili)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</w:r>
            <w:r>
              <w:rPr>
                <w:b/>
              </w:rPr>
              <w:t>Funzione</w:t>
            </w:r>
          </w:p>
        </w:tc>
        <w:tc>
          <w:tcPr>
            <w:tcW w:type="dxa" w:w="4986"/>
          </w:tcPr>
          <w:p>
            <w:r>
              <w:rPr>
                <w:b/>
              </w:rPr>
            </w:r>
            <w:r>
              <w:rPr>
                <w:b/>
              </w:rPr>
              <w:t>Come si dimostra</w:t>
            </w:r>
          </w:p>
        </w:tc>
      </w:tr>
      <w:tr>
        <w:tc>
          <w:tcPr>
            <w:tcW w:type="dxa" w:w="4986"/>
          </w:tcPr>
          <w:p>
            <w:r/>
            <w:r>
              <w:t>Ingestione catalogo/prezzi da sistema aziendale</w:t>
            </w:r>
          </w:p>
        </w:tc>
        <w:tc>
          <w:tcPr>
            <w:tcW w:type="dxa" w:w="4986"/>
          </w:tcPr>
          <w:p>
            <w:r/>
            <w:r>
              <w:t xml:space="preserve">API v1 </w:t>
            </w:r>
            <w:r>
              <w:rPr>
                <w:rFonts w:ascii="Menlo" w:hAnsi="Menlo" w:eastAsia="Menlo"/>
              </w:rPr>
              <w:t>POST /catalog</w:t>
            </w:r>
            <w:r>
              <w:t xml:space="preserve">, </w:t>
            </w:r>
            <w:r>
              <w:rPr>
                <w:rFonts w:ascii="Menlo" w:hAnsi="Menlo" w:eastAsia="Menlo"/>
              </w:rPr>
              <w:t>POST /prices</w:t>
            </w:r>
            <w:r>
              <w:t xml:space="preserve"> o import CSV/XLSX</w:t>
            </w:r>
          </w:p>
        </w:tc>
      </w:tr>
      <w:tr>
        <w:tc>
          <w:tcPr>
            <w:tcW w:type="dxa" w:w="4986"/>
          </w:tcPr>
          <w:p>
            <w:r/>
            <w:r>
              <w:t>Autenticazione per negozio</w:t>
            </w:r>
          </w:p>
        </w:tc>
        <w:tc>
          <w:tcPr>
            <w:tcW w:type="dxa" w:w="4986"/>
          </w:tcPr>
          <w:p>
            <w:r/>
            <w:r>
              <w:t xml:space="preserve">Token integrazione scoped a </w:t>
            </w:r>
            <w:r>
              <w:rPr>
                <w:rFonts w:ascii="Menlo" w:hAnsi="Menlo" w:eastAsia="Menlo"/>
              </w:rPr>
              <w:t>storeId</w:t>
            </w:r>
          </w:p>
        </w:tc>
      </w:tr>
      <w:tr>
        <w:tc>
          <w:tcPr>
            <w:tcW w:type="dxa" w:w="4986"/>
          </w:tcPr>
          <w:p>
            <w:r/>
            <w:r>
              <w:t>Protocolli riconosciuti</w:t>
            </w:r>
          </w:p>
        </w:tc>
        <w:tc>
          <w:tcPr>
            <w:tcW w:type="dxa" w:w="4986"/>
          </w:tcPr>
          <w:p>
            <w:r/>
            <w:r>
              <w:t>HTTPS/JSON; MQTT verso Station; BLE GATT</w:t>
            </w:r>
          </w:p>
        </w:tc>
      </w:tr>
      <w:tr>
        <w:tc>
          <w:tcPr>
            <w:tcW w:type="dxa" w:w="4986"/>
          </w:tcPr>
          <w:p>
            <w:r/>
            <w:r>
              <w:t>Dati scambiati</w:t>
            </w:r>
          </w:p>
        </w:tc>
        <w:tc>
          <w:tcPr>
            <w:tcW w:type="dxa" w:w="4986"/>
          </w:tcPr>
          <w:p>
            <w:r/>
            <w:r>
              <w:t>EAN, name, price, department, sku; payload immagine etichetta verso tag</w:t>
            </w:r>
          </w:p>
        </w:tc>
      </w:tr>
      <w:tr>
        <w:tc>
          <w:tcPr>
            <w:tcW w:type="dxa" w:w="4986"/>
          </w:tcPr>
          <w:p>
            <w:r/>
            <w:r>
              <w:t>Trasformazione digitale del processo</w:t>
            </w:r>
          </w:p>
        </w:tc>
        <w:tc>
          <w:tcPr>
            <w:tcW w:type="dxa" w:w="4986"/>
          </w:tcPr>
          <w:p>
            <w:r/>
            <w:r>
              <w:t>Da cartellino cartaceo / aggiornamento lento → aggiornamento digitale a scaffale allineato al listino</w:t>
            </w:r>
          </w:p>
        </w:tc>
      </w:tr>
    </w:tbl>
    <w:p/>
    <w:p>
      <w:pPr>
        <w:pStyle w:val="Heading1"/>
      </w:pPr>
      <w:r>
        <w:t>4. Beni materiali — ipotesi Allegato IV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  <w:r>
              <w:rPr>
                <w:b/>
              </w:rPr>
              <w:t>Bene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  <w:r>
              <w:rPr>
                <w:b/>
              </w:rPr>
              <w:t>Ruolo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  <w:r>
              <w:rPr>
                <w:b/>
              </w:rPr>
              <w:t>Specs documentate (docs)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  <w:r>
              <w:rPr>
                <w:b/>
              </w:rPr>
              <w:t>Note OT (Brain)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/>
              </w:rPr>
              <w:t>Tag ESL</w:t>
            </w:r>
          </w:p>
        </w:tc>
        <w:tc>
          <w:tcPr>
            <w:tcW w:type="dxa" w:w="2493"/>
          </w:tcPr>
          <w:p>
            <w:r/>
            <w:r>
              <w:t>Display prezzo a scaffale</w:t>
            </w:r>
          </w:p>
        </w:tc>
        <w:tc>
          <w:tcPr>
            <w:tcW w:type="dxa" w:w="2493"/>
          </w:tcPr>
          <w:p>
            <w:r/>
            <w:r>
              <w:t>Batteria 7–10 anni; IP65; ~60–80 s aggiornamento; BLE + RF (</w:t>
            </w:r>
            <w:r>
              <w:rPr>
                <w:rFonts w:ascii="Menlo" w:hAnsi="Menlo" w:eastAsia="Menlo"/>
              </w:rPr>
              <w:t>docs/it/hardware/tag-esl.mdx</w:t>
            </w:r>
            <w:r>
              <w:t>)</w:t>
            </w:r>
          </w:p>
        </w:tc>
        <w:tc>
          <w:tcPr>
            <w:tcW w:type="dxa" w:w="2493"/>
          </w:tcPr>
          <w:p>
            <w:r/>
            <w:r>
              <w:t>Formati display / pairing: TODO in docs; schede vendor se richieste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/>
              </w:rPr>
              <w:t>Base Station (ESLAP)</w:t>
            </w:r>
          </w:p>
        </w:tc>
        <w:tc>
          <w:tcPr>
            <w:tcW w:type="dxa" w:w="2493"/>
          </w:tcPr>
          <w:p>
            <w:r/>
            <w:r>
              <w:t>Aggiornamento remoto fino a ~4.000 tag</w:t>
            </w:r>
          </w:p>
        </w:tc>
        <w:tc>
          <w:tcPr>
            <w:tcW w:type="dxa" w:w="2493"/>
          </w:tcPr>
          <w:p>
            <w:r/>
            <w:r>
              <w:rPr>
                <w:rFonts w:ascii="Menlo" w:hAnsi="Menlo" w:eastAsia="Menlo"/>
              </w:rPr>
              <w:t>docs/it/hardware/base-station.mdx</w:t>
            </w:r>
            <w:r>
              <w:t>, copertura radio</w:t>
            </w:r>
          </w:p>
        </w:tc>
        <w:tc>
          <w:tcPr>
            <w:tcW w:type="dxa" w:w="2493"/>
          </w:tcPr>
          <w:p>
            <w:r/>
            <w:r>
              <w:t>OpenWrt + radio SDR; firmware MQTT; broker PriceTag UE; ~15 m volume tipico</w:t>
            </w:r>
          </w:p>
        </w:tc>
      </w:tr>
    </w:tbl>
    <w:p/>
    <w:p>
      <w:r>
        <w:t xml:space="preserve">Ipotesi di lavoro per il commercialista: </w:t>
      </w:r>
      <w:r>
        <w:rPr>
          <w:b/>
        </w:rPr>
        <w:t>pacchetto HW (IV) + software/piattaforma (V)</w:t>
      </w:r>
      <w:r>
        <w:t xml:space="preserve"> interconnessi, piuttosto che solo SaaS.</w:t>
      </w:r>
    </w:p>
    <w:p>
      <w:pPr>
        <w:pStyle w:val="Heading1"/>
      </w:pPr>
      <w:r>
        <w:t>5. Interconnessione — definizione operativa PriceTag</w:t>
      </w:r>
    </w:p>
    <w:p>
      <w:r>
        <w:t xml:space="preserve">Per PriceTag, “interconnessione effettiva” in un negozio significa </w:t>
      </w:r>
      <w:r>
        <w:rPr>
          <w:b/>
        </w:rPr>
        <w:t>tutte</w:t>
      </w:r>
      <w:r>
        <w:t xml:space="preserve"> le seguenti:</w:t>
      </w:r>
    </w:p>
    <w:p>
      <w:pPr>
        <w:pStyle w:val="ListNumber"/>
      </w:pPr>
      <w:r>
        <w:t>Esiste un sistema a monte (gestionale/POS) da cui arrivano catalogo/prezzi.</w:t>
      </w:r>
    </w:p>
    <w:p>
      <w:pPr>
        <w:pStyle w:val="ListNumber"/>
      </w:pPr>
      <w:r>
        <w:t>C’è prova datata di scambio (API o CSV) verso PriceTag.</w:t>
      </w:r>
    </w:p>
    <w:p>
      <w:pPr>
        <w:pStyle w:val="ListNumber"/>
      </w:pPr>
      <w:r>
        <w:t>I prezzi sono pubblicabili sui tag (Station MQTT e/o BLE) con prova a scaffale.</w:t>
      </w:r>
    </w:p>
    <w:p>
      <w:pPr>
        <w:pStyle w:val="ListNumber"/>
      </w:pPr>
      <w:r>
        <w:t>Il tutto è compilato nel [dossier per negozio](../ops-memory/content/dossier-interconnessione-template.md).</w:t>
      </w:r>
    </w:p>
    <w:p>
      <w:r>
        <w:rPr>
          <w:b/>
        </w:rPr>
        <w:t>Non basta:</w:t>
      </w:r>
      <w:r>
        <w:t xml:space="preserve"> brochure, “API disponibile”, o solo abbonamento cloud senza beni e senza sync dimostrato.</w:t>
      </w:r>
    </w:p>
    <w:p>
      <w:pPr>
        <w:pStyle w:val="Heading1"/>
      </w:pPr>
      <w:r>
        <w:t>6. Modalità di acquisto (input per il fiscalista)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</w:r>
            <w:r>
              <w:rPr>
                <w:b/>
              </w:rPr>
              <w:t>Modalità commerciale PriceTag</w:t>
            </w:r>
          </w:p>
        </w:tc>
        <w:tc>
          <w:tcPr>
            <w:tcW w:type="dxa" w:w="4986"/>
          </w:tcPr>
          <w:p>
            <w:r>
              <w:rPr>
                <w:b/>
              </w:rPr>
            </w:r>
            <w:r>
              <w:rPr>
                <w:b/>
              </w:rPr>
              <w:t>Nota per agevolazione</w:t>
            </w:r>
          </w:p>
        </w:tc>
      </w:tr>
      <w:tr>
        <w:tc>
          <w:tcPr>
            <w:tcW w:type="dxa" w:w="4986"/>
          </w:tcPr>
          <w:p>
            <w:r/>
            <w:r>
              <w:t>Acquisto totale HW + sistema</w:t>
            </w:r>
          </w:p>
        </w:tc>
        <w:tc>
          <w:tcPr>
            <w:tcW w:type="dxa" w:w="4986"/>
          </w:tcPr>
          <w:p>
            <w:r/>
            <w:r>
              <w:t>Cammino più allineato a “costo di acquisizione”</w:t>
            </w:r>
          </w:p>
        </w:tc>
      </w:tr>
      <w:tr>
        <w:tc>
          <w:tcPr>
            <w:tcW w:type="dxa" w:w="4986"/>
          </w:tcPr>
          <w:p>
            <w:r/>
            <w:r>
              <w:t>Noleggio operativo / Grenke / CRD</w:t>
            </w:r>
          </w:p>
        </w:tc>
        <w:tc>
          <w:tcPr>
            <w:tcW w:type="dxa" w:w="4986"/>
          </w:tcPr>
          <w:p>
            <w:r/>
            <w:r>
              <w:t>Verificare se = *locazione finanziaria* ai fini del decreto</w:t>
            </w:r>
          </w:p>
        </w:tc>
      </w:tr>
      <w:tr>
        <w:tc>
          <w:tcPr>
            <w:tcW w:type="dxa" w:w="4986"/>
          </w:tcPr>
          <w:p>
            <w:r/>
            <w:r>
              <w:t>Abono servizio €100/mese (o canone SaaS puro)</w:t>
            </w:r>
          </w:p>
        </w:tc>
        <w:tc>
          <w:tcPr>
            <w:tcW w:type="dxa" w:w="4986"/>
          </w:tcPr>
          <w:p>
            <w:r/>
            <w:r>
              <w:rPr>
                <w:b/>
              </w:rPr>
              <w:t>Presunto fuori</w:t>
            </w:r>
            <w:r>
              <w:t xml:space="preserve"> dalla maggiorazione finché non c’è parere contrario</w:t>
            </w:r>
          </w:p>
        </w:tc>
      </w:tr>
    </w:tbl>
    <w:p/>
    <w:p>
      <w:r>
        <w:t xml:space="preserve">Domande formali: </w:t>
      </w:r>
      <w:r>
        <w:rPr>
          <w:rFonts w:ascii="Menlo" w:hAnsi="Menlo" w:eastAsia="Menlo"/>
        </w:rPr>
        <w:t>iperammortamento-preguntas-commercialista.md</w:t>
      </w:r>
      <w:r>
        <w:t>.</w:t>
      </w:r>
    </w:p>
    <w:p>
      <w:pPr>
        <w:pStyle w:val="Heading1"/>
      </w:pPr>
      <w:r>
        <w:t>7. Cosa non affermare finché non c’è parere</w:t>
      </w:r>
    </w:p>
    <w:p>
      <w:pPr>
        <w:pStyle w:val="ListBullet"/>
      </w:pPr>
      <w:r>
        <w:t>Una lettera precisa dell’Allegato IV o V come “certificata”.</w:t>
      </w:r>
    </w:p>
    <w:p>
      <w:pPr>
        <w:pStyle w:val="ListBullet"/>
      </w:pPr>
      <w:r>
        <w:t>Che “ogni cliente PriceTag ha diritto all’iperammortamento”.</w:t>
      </w:r>
    </w:p>
    <w:p>
      <w:pPr>
        <w:pStyle w:val="ListBullet"/>
      </w:pPr>
      <w:r>
        <w:t>Che il solo canone mensile software è agevolabile.</w:t>
      </w:r>
    </w:p>
    <w:p>
      <w:pPr>
        <w:pStyle w:val="ListBullet"/>
      </w:pPr>
      <w:r>
        <w:t>Che il preventivo Hub (annex 180%) sostituisce perizia o GSE.</w:t>
      </w:r>
    </w:p>
    <w:p>
      <w:pPr>
        <w:pStyle w:val="Heading1"/>
      </w:pPr>
      <w:r>
        <w:t>Changelog</w:t>
      </w:r>
    </w:p>
    <w:p>
      <w:pPr>
        <w:pStyle w:val="ListBullet"/>
      </w:pPr>
      <w:r>
        <w:t>2026-10-08: prima scheda ipotesi Allegato IV/V + citazioni docs/Brain.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