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Domande al commercialista — Iperammortamento PriceTag</w:t>
      </w:r>
    </w:p>
    <w:p>
      <w:r>
        <w:rPr>
          <w:b/>
        </w:rPr>
        <w:t>Stato:</w:t>
      </w:r>
      <w:r>
        <w:t xml:space="preserve"> pronto per invio (2026-10-08). In attesa di risposta.</w:t>
      </w:r>
    </w:p>
    <w:p>
      <w:r>
        <w:rPr>
          <w:b/>
        </w:rPr>
        <w:t>Lingua:</w:t>
      </w:r>
      <w:r>
        <w:t xml:space="preserve"> italiano.</w:t>
      </w:r>
    </w:p>
    <w:p>
      <w:r>
        <w:rPr>
          <w:b/>
        </w:rPr>
        <w:t>Disclaimer:</w:t>
      </w:r>
      <w:r>
        <w:t xml:space="preserve"> non costituisce consulenza fiscale; chiediamo un parere scritto dello studio.</w:t>
      </w:r>
    </w:p>
    <w:p>
      <w:pPr>
        <w:pStyle w:val="Heading1"/>
      </w:pPr>
      <w:r>
        <w:t>Allegati da allegare / condividere insieme a questo file</w:t>
      </w:r>
    </w:p>
    <w:p>
      <w:pPr>
        <w:pStyle w:val="ListNumber"/>
      </w:pPr>
      <w:r>
        <w:t>Scheda tecnica — ipotesi Allegato IV / V</w:t>
      </w:r>
    </w:p>
    <w:p>
      <w:pPr>
        <w:pStyle w:val="ListNumber"/>
      </w:pPr>
      <w:r>
        <w:t>Template dossier di interconnessione</w:t>
      </w:r>
    </w:p>
    <w:p>
      <w:pPr>
        <w:pStyle w:val="ListNumber"/>
      </w:pPr>
      <w:r>
        <w:t>Guida breve GSE (cliente)</w:t>
      </w:r>
    </w:p>
    <w:p>
      <w:pPr>
        <w:pStyle w:val="ListNumber"/>
      </w:pPr>
      <w:r>
        <w:t>Descrizione sistema PriceTag (PDF già disponibile: PriceTag-Descrizione-Sistema-2026-09-22.pdf)</w:t>
      </w:r>
    </w:p>
    <w:p>
      <w:pPr>
        <w:pStyle w:val="ListNumber"/>
      </w:pPr>
      <w:r>
        <w:t>Documentazione Integration API v1 (docs.pricetagapp.com — accesso con storeId)</w:t>
      </w:r>
    </w:p>
    <w:p>
      <w:pPr>
        <w:pStyle w:val="Heading1"/>
      </w:pPr>
      <w:r>
        <w:t>Contesto breve per lo studio</w:t>
      </w:r>
    </w:p>
    <w:p>
      <w:r>
        <w:t xml:space="preserve">PriceTag vende un </w:t>
      </w:r>
      <w:r>
        <w:rPr>
          <w:b/>
        </w:rPr>
        <w:t>sistema ESL</w:t>
      </w:r>
      <w:r>
        <w:t xml:space="preserve"> (tag e-ink + Base Station + software cloud) a punti vendita in Italia, fatturando via </w:t>
      </w:r>
      <w:r>
        <w:rPr>
          <w:b/>
        </w:rPr>
        <w:t>CRD Elettronica</w:t>
      </w:r>
      <w:r>
        <w:t>. Percorsi commerciali:</w:t>
      </w:r>
    </w:p>
    <w:p>
      <w:pPr>
        <w:pStyle w:val="ListBullet"/>
      </w:pPr>
      <w:r>
        <w:rPr>
          <w:b/>
        </w:rPr>
        <w:t>(A)</w:t>
      </w:r>
      <w:r>
        <w:t xml:space="preserve"> acquisto totale hardware + canone di servizio ~€100/mese</w:t>
      </w:r>
    </w:p>
    <w:p>
      <w:pPr>
        <w:pStyle w:val="ListBullet"/>
      </w:pPr>
      <w:r>
        <w:rPr>
          <w:b/>
        </w:rPr>
        <w:t>(B)</w:t>
      </w:r>
      <w:r>
        <w:t xml:space="preserve"> noleggio operativo / leasing (Grenke o altri)</w:t>
      </w:r>
    </w:p>
    <w:p>
      <w:r>
        <w:t xml:space="preserve">Chiediamo un </w:t>
      </w:r>
      <w:r>
        <w:rPr>
          <w:b/>
        </w:rPr>
        <w:t>parere scritto</w:t>
      </w:r>
      <w:r>
        <w:t xml:space="preserve"> sull’eleggibilità all’</w:t>
      </w:r>
      <w:r>
        <w:rPr>
          <w:b/>
        </w:rPr>
        <w:t>iperammortamento 2026</w:t>
      </w:r>
      <w:r>
        <w:t xml:space="preserve"> (L. 199/2025, art. 1 cc. 427–436 + decreto interministeriale 7 maggio 2026), </w:t>
      </w:r>
      <w:r>
        <w:rPr>
          <w:b/>
        </w:rPr>
        <w:t>senza</w:t>
      </w:r>
      <w:r>
        <w:t xml:space="preserve"> che PriceTag sostituisca perizia o adempimenti GSE del cliente.</w:t>
      </w:r>
    </w:p>
    <w:p>
      <w:pPr>
        <w:pStyle w:val="Heading1"/>
      </w:pPr>
      <w:r>
        <w:t>Domande (sì/no + sfumature)</w:t>
      </w:r>
    </w:p>
    <w:p>
      <w:pPr>
        <w:pStyle w:val="Heading2"/>
      </w:pPr>
      <w:r>
        <w:t>A. Mapping Allegato</w:t>
      </w:r>
    </w:p>
    <w:p>
      <w:pPr>
        <w:pStyle w:val="ListNumber"/>
      </w:pPr>
      <w:r>
        <w:t xml:space="preserve">I </w:t>
      </w:r>
      <w:r>
        <w:rPr>
          <w:b/>
        </w:rPr>
        <w:t>tag ESL</w:t>
      </w:r>
      <w:r>
        <w:t xml:space="preserve"> e la </w:t>
      </w:r>
      <w:r>
        <w:rPr>
          <w:b/>
        </w:rPr>
        <w:t>Base Station</w:t>
      </w:r>
      <w:r>
        <w:t xml:space="preserve"> possono qualificarsi come beni materiali dell’</w:t>
      </w:r>
      <w:r>
        <w:rPr>
          <w:b/>
        </w:rPr>
        <w:t>Allegato IV</w:t>
      </w:r>
      <w:r>
        <w:t>, se interconnessi al gestionale/POS del cliente tramite PriceTag?</w:t>
      </w:r>
    </w:p>
    <w:p>
      <w:pPr>
        <w:pStyle w:val="ListNumber"/>
      </w:pPr>
      <w:r>
        <w:t xml:space="preserve">Il </w:t>
      </w:r>
      <w:r>
        <w:rPr>
          <w:b/>
        </w:rPr>
        <w:t>software / piattaforma PriceTag</w:t>
      </w:r>
      <w:r>
        <w:t xml:space="preserve"> può qualificarsi sotto </w:t>
      </w:r>
      <w:r>
        <w:rPr>
          <w:b/>
        </w:rPr>
        <w:t>Allegato V</w:t>
      </w:r>
      <w:r>
        <w:t>? Quale lettera/sottopunto ritenete più difendibile tra le ipotesi della scheda (</w:t>
      </w:r>
      <w:r>
        <w:rPr>
          <w:b/>
        </w:rPr>
        <w:t>ff</w:t>
      </w:r>
      <w:r>
        <w:t xml:space="preserve"> integrazione IT/OT, </w:t>
      </w:r>
      <w:r>
        <w:rPr>
          <w:b/>
        </w:rPr>
        <w:t>bb</w:t>
      </w:r>
      <w:r>
        <w:t xml:space="preserve"> logistica, altra)?</w:t>
      </w:r>
    </w:p>
    <w:p>
      <w:pPr>
        <w:pStyle w:val="ListNumber"/>
      </w:pPr>
      <w:r>
        <w:t xml:space="preserve">È più solido presentare un </w:t>
      </w:r>
      <w:r>
        <w:rPr>
          <w:b/>
        </w:rPr>
        <w:t>pacchetto HW+SW</w:t>
      </w:r>
      <w:r>
        <w:t xml:space="preserve"> piuttosto che solo software (SaaS)?</w:t>
      </w:r>
    </w:p>
    <w:p>
      <w:pPr>
        <w:pStyle w:val="Heading2"/>
      </w:pPr>
      <w:r>
        <w:t>B. Interconnessione</w:t>
      </w:r>
    </w:p>
    <w:p>
      <w:pPr>
        <w:pStyle w:val="ListNumber"/>
      </w:pPr>
      <w:r>
        <w:t xml:space="preserve">Nel retail, il </w:t>
      </w:r>
      <w:r>
        <w:rPr>
          <w:b/>
        </w:rPr>
        <w:t>gestionale/POS</w:t>
      </w:r>
      <w:r>
        <w:t xml:space="preserve"> rientra come “sistema aziendale di gestione della produzione” o “rete di fornitura” ai fini del decreto?</w:t>
      </w:r>
    </w:p>
    <w:p>
      <w:pPr>
        <w:pStyle w:val="ListNumber"/>
      </w:pPr>
      <w:r>
        <w:t>Bastano Integration API HTTPS (o sync CSV) + pubblicazione MQTT/BLE sui tag come prova di interconnessione, documentata nel template di dossier?</w:t>
      </w:r>
    </w:p>
    <w:p>
      <w:pPr>
        <w:pStyle w:val="ListNumber"/>
      </w:pPr>
      <w:r>
        <w:t xml:space="preserve">Un’installazione </w:t>
      </w:r>
      <w:r>
        <w:rPr>
          <w:b/>
        </w:rPr>
        <w:t>solo BLE</w:t>
      </w:r>
      <w:r>
        <w:t xml:space="preserve"> (senza Base Station) resta un’interconnessione ammissibile?</w:t>
      </w:r>
    </w:p>
    <w:p>
      <w:pPr>
        <w:pStyle w:val="Heading2"/>
      </w:pPr>
      <w:r>
        <w:t>C. Modalità di costo</w:t>
      </w:r>
    </w:p>
    <w:p>
      <w:pPr>
        <w:pStyle w:val="ListNumber"/>
      </w:pPr>
      <w:r>
        <w:t xml:space="preserve">Il </w:t>
      </w:r>
      <w:r>
        <w:rPr>
          <w:b/>
        </w:rPr>
        <w:t>noleggio operativo</w:t>
      </w:r>
      <w:r>
        <w:t xml:space="preserve"> PriceTag/CRD (e/o contratto Grenke) rientra tra i </w:t>
      </w:r>
      <w:r>
        <w:rPr>
          <w:b/>
        </w:rPr>
        <w:t>canoni di locazione finanziaria</w:t>
      </w:r>
      <w:r>
        <w:t xml:space="preserve"> agevolabili?</w:t>
      </w:r>
    </w:p>
    <w:p>
      <w:pPr>
        <w:pStyle w:val="ListNumber"/>
      </w:pPr>
      <w:r>
        <w:t xml:space="preserve">Il </w:t>
      </w:r>
      <w:r>
        <w:rPr>
          <w:b/>
        </w:rPr>
        <w:t>canone mensile di servizio</w:t>
      </w:r>
      <w:r>
        <w:t xml:space="preserve"> (~€100) o qualsiasi canone SaaS deve essere </w:t>
      </w:r>
      <w:r>
        <w:rPr>
          <w:b/>
        </w:rPr>
        <w:t>escluso</w:t>
      </w:r>
      <w:r>
        <w:t xml:space="preserve"> dalla base agevolabile?</w:t>
      </w:r>
    </w:p>
    <w:p>
      <w:pPr>
        <w:pStyle w:val="ListNumber"/>
      </w:pPr>
      <w:r>
        <w:t>Setup / formazione / assistenza one-shot possono entrare nella base o vanno tenuti separati?</w:t>
      </w:r>
    </w:p>
    <w:p>
      <w:pPr>
        <w:pStyle w:val="Heading2"/>
      </w:pPr>
      <w:r>
        <w:t>D. Preventivo e fattura</w:t>
      </w:r>
    </w:p>
    <w:p>
      <w:pPr>
        <w:pStyle w:val="ListNumber"/>
      </w:pPr>
      <w:r>
        <w:t xml:space="preserve">Dobbiamo separare in preventivo/fattura le voci </w:t>
      </w:r>
      <w:r>
        <w:rPr>
          <w:b/>
        </w:rPr>
        <w:t>agevolabili</w:t>
      </w:r>
      <w:r>
        <w:t xml:space="preserve"> vs </w:t>
      </w:r>
      <w:r>
        <w:rPr>
          <w:b/>
        </w:rPr>
        <w:t>non agevolabili</w:t>
      </w:r>
      <w:r>
        <w:t xml:space="preserve"> in modo esplicito?</w:t>
      </w:r>
    </w:p>
    <w:p>
      <w:pPr>
        <w:pStyle w:val="ListNumber"/>
      </w:pPr>
      <w:r>
        <w:t>L’annex del preventivo oggi calcola il 180% sull’</w:t>
      </w:r>
      <w:r>
        <w:rPr>
          <w:b/>
        </w:rPr>
        <w:t>imponibile totale</w:t>
      </w:r>
      <w:r>
        <w:t xml:space="preserve"> del Quote: va limitato solo alle voci agevolabili? (atteso: sì)</w:t>
      </w:r>
    </w:p>
    <w:p>
      <w:pPr>
        <w:pStyle w:val="Heading2"/>
      </w:pPr>
      <w:r>
        <w:t>E. Processo</w:t>
      </w:r>
    </w:p>
    <w:p>
      <w:pPr>
        <w:pStyle w:val="ListNumber"/>
      </w:pPr>
      <w:r>
        <w:t>Quali documenti minimi deve conservare il cliente oltre a GSE + perizia + certificazione contabile?</w:t>
      </w:r>
    </w:p>
    <w:p>
      <w:pPr>
        <w:pStyle w:val="ListNumber"/>
      </w:pPr>
      <w:r>
        <w:t>PriceTag deve emettere una “dichiarazione del fornitore” e con quale portata (senza sostituire la perizia)?</w:t>
      </w:r>
    </w:p>
    <w:p>
      <w:pPr>
        <w:pStyle w:val="Heading1"/>
      </w:pPr>
      <w:r>
        <w:t>Ripartizione contrattuale proposta (bozza — da validare)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Voce tipica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Proposta interna fino al parere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Chiediamo conferma</w:t>
            </w:r>
          </w:p>
        </w:tc>
      </w:tr>
      <w:tr>
        <w:tc>
          <w:tcPr>
            <w:tcW w:type="dxa" w:w="3324"/>
          </w:tcPr>
          <w:p>
            <w:r/>
            <w:r>
              <w:t>Tag ESL</w:t>
            </w:r>
          </w:p>
        </w:tc>
        <w:tc>
          <w:tcPr>
            <w:tcW w:type="dxa" w:w="3324"/>
          </w:tcPr>
          <w:p>
            <w:r/>
            <w:r>
              <w:t>Agevolabile (IV) se parere ok</w:t>
            </w:r>
          </w:p>
        </w:tc>
        <w:tc>
          <w:tcPr>
            <w:tcW w:type="dxa" w:w="3324"/>
          </w:tcPr>
          <w:p>
            <w:r/>
            <w:r>
              <w:t>Sì/No</w:t>
            </w:r>
          </w:p>
        </w:tc>
      </w:tr>
      <w:tr>
        <w:tc>
          <w:tcPr>
            <w:tcW w:type="dxa" w:w="3324"/>
          </w:tcPr>
          <w:p>
            <w:r/>
            <w:r>
              <w:t>Base Station</w:t>
            </w:r>
          </w:p>
        </w:tc>
        <w:tc>
          <w:tcPr>
            <w:tcW w:type="dxa" w:w="3324"/>
          </w:tcPr>
          <w:p>
            <w:r/>
            <w:r>
              <w:t>Agevolabile (IV) se parere ok</w:t>
            </w:r>
          </w:p>
        </w:tc>
        <w:tc>
          <w:tcPr>
            <w:tcW w:type="dxa" w:w="3324"/>
          </w:tcPr>
          <w:p>
            <w:r/>
            <w:r>
              <w:t>Sì/No</w:t>
            </w:r>
          </w:p>
        </w:tc>
      </w:tr>
      <w:tr>
        <w:tc>
          <w:tcPr>
            <w:tcW w:type="dxa" w:w="3324"/>
          </w:tcPr>
          <w:p>
            <w:r/>
            <w:r>
              <w:t>Licenza / componente software capitalizzabile</w:t>
            </w:r>
          </w:p>
        </w:tc>
        <w:tc>
          <w:tcPr>
            <w:tcW w:type="dxa" w:w="3324"/>
          </w:tcPr>
          <w:p>
            <w:r/>
            <w:r>
              <w:t>Agevolabile (V) solo se il parere lo ammette</w:t>
            </w:r>
          </w:p>
        </w:tc>
        <w:tc>
          <w:tcPr>
            <w:tcW w:type="dxa" w:w="3324"/>
          </w:tcPr>
          <w:p>
            <w:r/>
            <w:r>
              <w:t>Sì/No / N/A</w:t>
            </w:r>
          </w:p>
        </w:tc>
      </w:tr>
      <w:tr>
        <w:tc>
          <w:tcPr>
            <w:tcW w:type="dxa" w:w="3324"/>
          </w:tcPr>
          <w:p>
            <w:r/>
            <w:r>
              <w:t>Setup / onboarding</w:t>
            </w:r>
          </w:p>
        </w:tc>
        <w:tc>
          <w:tcPr>
            <w:tcW w:type="dxa" w:w="3324"/>
          </w:tcPr>
          <w:p>
            <w:r/>
            <w:r>
              <w:t>Separare; revisione caso per caso</w:t>
            </w:r>
          </w:p>
        </w:tc>
        <w:tc>
          <w:tcPr>
            <w:tcW w:type="dxa" w:w="3324"/>
          </w:tcPr>
          <w:p>
            <w:r/>
            <w:r>
              <w:t>Regola</w:t>
            </w:r>
          </w:p>
        </w:tc>
      </w:tr>
      <w:tr>
        <w:tc>
          <w:tcPr>
            <w:tcW w:type="dxa" w:w="3324"/>
          </w:tcPr>
          <w:p>
            <w:r/>
            <w:r>
              <w:t>Canone servizio / assistenza mensile</w:t>
            </w:r>
          </w:p>
        </w:tc>
        <w:tc>
          <w:tcPr>
            <w:tcW w:type="dxa" w:w="3324"/>
          </w:tcPr>
          <w:p>
            <w:r/>
            <w:r>
              <w:rPr>
                <w:b/>
              </w:rPr>
              <w:t>Non agevolabile</w:t>
            </w:r>
          </w:p>
        </w:tc>
        <w:tc>
          <w:tcPr>
            <w:tcW w:type="dxa" w:w="3324"/>
          </w:tcPr>
          <w:p>
            <w:r/>
            <w:r>
              <w:t>Confermare</w:t>
            </w:r>
          </w:p>
        </w:tc>
      </w:tr>
      <w:tr>
        <w:tc>
          <w:tcPr>
            <w:tcW w:type="dxa" w:w="3324"/>
          </w:tcPr>
          <w:p>
            <w:r/>
            <w:r>
              <w:t>Canone di noleggio</w:t>
            </w:r>
          </w:p>
        </w:tc>
        <w:tc>
          <w:tcPr>
            <w:tcW w:type="dxa" w:w="3324"/>
          </w:tcPr>
          <w:p>
            <w:r/>
            <w:r>
              <w:t>Solo se = locazione finanziaria</w:t>
            </w:r>
          </w:p>
        </w:tc>
        <w:tc>
          <w:tcPr>
            <w:tcW w:type="dxa" w:w="3324"/>
          </w:tcPr>
          <w:p>
            <w:r/>
            <w:r>
              <w:t>Sì/No + condizioni</w:t>
            </w:r>
          </w:p>
        </w:tc>
      </w:tr>
    </w:tbl>
    <w:p/>
    <w:p>
      <w:pPr>
        <w:pStyle w:val="Heading1"/>
      </w:pPr>
      <w:r>
        <w:t>Registro risposta (compilare dallo studio / internamente)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Campo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Valore</w:t>
            </w:r>
          </w:p>
        </w:tc>
      </w:tr>
      <w:tr>
        <w:tc>
          <w:tcPr>
            <w:tcW w:type="dxa" w:w="4986"/>
          </w:tcPr>
          <w:p>
            <w:r/>
            <w:r>
              <w:t>Studio / professionista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Data invio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Data risposta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Link / rif. parere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Lettere Allegato chiuse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Regola di ripartizione</w:t>
            </w:r>
          </w:p>
        </w:tc>
        <w:tc>
          <w:tcPr>
            <w:tcW w:type="dxa" w:w="4986"/>
          </w:tcPr>
          <w:p>
            <w:r/>
          </w:p>
        </w:tc>
      </w:tr>
    </w:tbl>
    <w:p/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